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1C76" w14:textId="04112014" w:rsidR="58A23F78" w:rsidRDefault="58A23F78" w:rsidP="27327828">
      <w:pPr>
        <w:spacing w:after="0"/>
        <w:jc w:val="center"/>
      </w:pPr>
      <w:r>
        <w:rPr>
          <w:noProof/>
        </w:rPr>
        <w:drawing>
          <wp:inline distT="0" distB="0" distL="0" distR="0" wp14:anchorId="2BAF23EB" wp14:editId="0826910C">
            <wp:extent cx="5715000" cy="723900"/>
            <wp:effectExtent l="0" t="0" r="0" b="0"/>
            <wp:docPr id="1658270381" name="drawing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703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B3246" w14:textId="5BA13171" w:rsidR="58A23F78" w:rsidRDefault="58A23F78" w:rsidP="27327828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7327828">
        <w:rPr>
          <w:rFonts w:ascii="Arial" w:eastAsia="Arial" w:hAnsi="Arial" w:cs="Arial"/>
          <w:b/>
          <w:bCs/>
          <w:sz w:val="28"/>
          <w:szCs w:val="28"/>
        </w:rPr>
        <w:t>Welsh Culture Grant Scheme for Grassroots Organisations</w:t>
      </w:r>
    </w:p>
    <w:p w14:paraId="0693F4C2" w14:textId="4BE55397" w:rsidR="009D73D3" w:rsidRDefault="467234A6" w:rsidP="30880723">
      <w:pPr>
        <w:spacing w:after="0"/>
        <w:jc w:val="center"/>
      </w:pPr>
      <w:r w:rsidRPr="27327828">
        <w:rPr>
          <w:rFonts w:ascii="Arial" w:eastAsia="Arial" w:hAnsi="Arial" w:cs="Arial"/>
          <w:b/>
          <w:bCs/>
          <w:sz w:val="32"/>
          <w:szCs w:val="32"/>
        </w:rPr>
        <w:t xml:space="preserve">FAQ </w:t>
      </w:r>
    </w:p>
    <w:p w14:paraId="114F8B9D" w14:textId="5B07569D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What can the grant be spent on?</w:t>
      </w:r>
    </w:p>
    <w:p w14:paraId="2C735F44" w14:textId="4A73806A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The Welsh Government want to support a range of</w:t>
      </w:r>
      <w:r w:rsidRPr="30880723">
        <w:rPr>
          <w:rFonts w:ascii="Arial" w:eastAsia="Arial" w:hAnsi="Arial" w:cs="Arial"/>
          <w:b/>
          <w:bCs/>
          <w:sz w:val="28"/>
          <w:szCs w:val="28"/>
        </w:rPr>
        <w:t xml:space="preserve"> cultural and artistic projects </w:t>
      </w:r>
      <w:r w:rsidRPr="30880723">
        <w:rPr>
          <w:rFonts w:ascii="Arial" w:eastAsia="Arial" w:hAnsi="Arial" w:cs="Arial"/>
          <w:sz w:val="28"/>
          <w:szCs w:val="28"/>
        </w:rPr>
        <w:t>and groups that reflect the diversity of Wales communities including but not inclusive to</w:t>
      </w:r>
      <w:r w:rsidRPr="30880723">
        <w:rPr>
          <w:rFonts w:ascii="Arial" w:eastAsia="Arial" w:hAnsi="Arial" w:cs="Arial"/>
          <w:b/>
          <w:bCs/>
          <w:sz w:val="28"/>
          <w:szCs w:val="28"/>
        </w:rPr>
        <w:t xml:space="preserve"> visual art, community art, dance, carnival, festivals, performance, literature and music.</w:t>
      </w:r>
    </w:p>
    <w:p w14:paraId="11185030" w14:textId="3D04E187" w:rsidR="009D73D3" w:rsidRDefault="467234A6" w:rsidP="30880723">
      <w:pPr>
        <w:spacing w:after="0"/>
        <w:jc w:val="center"/>
      </w:pPr>
      <w:r w:rsidRPr="30880723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14:paraId="0353F365" w14:textId="490AD496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32"/>
          <w:szCs w:val="32"/>
        </w:rPr>
        <w:t>Who can apply?</w:t>
      </w:r>
    </w:p>
    <w:p w14:paraId="55A3FE22" w14:textId="05CD11BA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You can apply if your organisation </w:t>
      </w:r>
    </w:p>
    <w:p w14:paraId="5FB13874" w14:textId="5DD176BF" w:rsidR="009D73D3" w:rsidRDefault="467234A6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Is based in Wales and works for the benefit of people in Wales</w:t>
      </w:r>
    </w:p>
    <w:p w14:paraId="49E008A3" w14:textId="58C71AB3" w:rsidR="009D73D3" w:rsidRDefault="467234A6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 xml:space="preserve">Is not for profit – </w:t>
      </w:r>
      <w:proofErr w:type="spellStart"/>
      <w:r w:rsidRPr="30880723">
        <w:rPr>
          <w:rFonts w:ascii="Arial" w:eastAsia="Arial" w:hAnsi="Arial" w:cs="Arial"/>
          <w:sz w:val="28"/>
          <w:szCs w:val="28"/>
        </w:rPr>
        <w:t>eg</w:t>
      </w:r>
      <w:proofErr w:type="spellEnd"/>
      <w:r w:rsidRPr="30880723">
        <w:rPr>
          <w:rFonts w:ascii="Arial" w:eastAsia="Arial" w:hAnsi="Arial" w:cs="Arial"/>
          <w:sz w:val="28"/>
          <w:szCs w:val="28"/>
        </w:rPr>
        <w:t xml:space="preserve"> registered charity, community interest company, or other organisation with charitable aims</w:t>
      </w:r>
    </w:p>
    <w:p w14:paraId="3AE83AEC" w14:textId="3910C112" w:rsidR="009D73D3" w:rsidRDefault="467234A6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Is led by or for one (or more) of these groups</w:t>
      </w:r>
    </w:p>
    <w:p w14:paraId="5BB4D2DF" w14:textId="100BD6E0" w:rsidR="009D73D3" w:rsidRDefault="467234A6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People from Black, Asian, and minority ethnic communities in Wales (including Gypsy, Roma, Traveller communities)</w:t>
      </w:r>
    </w:p>
    <w:p w14:paraId="0A2D3E38" w14:textId="621A799F" w:rsidR="009D73D3" w:rsidRDefault="467234A6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People from the LGBTQ+ community in Wales</w:t>
      </w:r>
    </w:p>
    <w:p w14:paraId="0DBF668D" w14:textId="596E9D8B" w:rsidR="009D73D3" w:rsidRDefault="467234A6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People with disabilities in Wales</w:t>
      </w:r>
    </w:p>
    <w:p w14:paraId="64FC7F82" w14:textId="6390551A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16"/>
          <w:szCs w:val="16"/>
        </w:rPr>
        <w:t xml:space="preserve"> </w:t>
      </w:r>
    </w:p>
    <w:p w14:paraId="2375E041" w14:textId="27A823CE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We also welcome applications from faith-based groups for cultural or artistic projects.</w:t>
      </w:r>
    </w:p>
    <w:p w14:paraId="5D32A70F" w14:textId="045C56EC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 </w:t>
      </w:r>
    </w:p>
    <w:p w14:paraId="1923F73D" w14:textId="3A75835D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 xml:space="preserve">Who can’t apply? </w:t>
      </w:r>
      <w:r w:rsidRPr="30880723">
        <w:rPr>
          <w:rFonts w:ascii="Arial" w:eastAsia="Arial" w:hAnsi="Arial" w:cs="Arial"/>
          <w:sz w:val="28"/>
          <w:szCs w:val="28"/>
        </w:rPr>
        <w:t>Sorry, we can’t fund</w:t>
      </w:r>
    </w:p>
    <w:p w14:paraId="4B29C1E7" w14:textId="335CC0F4" w:rsidR="009D73D3" w:rsidRDefault="467234A6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Unincorporated groups</w:t>
      </w:r>
    </w:p>
    <w:p w14:paraId="26031A8C" w14:textId="3CEA0802" w:rsidR="009D73D3" w:rsidRDefault="467234A6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Individuals</w:t>
      </w:r>
    </w:p>
    <w:p w14:paraId="1E8D2104" w14:textId="1827C67D" w:rsidR="009D73D3" w:rsidRDefault="467234A6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For profit companies</w:t>
      </w:r>
    </w:p>
    <w:p w14:paraId="6299D3C0" w14:textId="0F2301A9" w:rsidR="009D73D3" w:rsidRDefault="467234A6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Organisations outside Wales</w:t>
      </w:r>
    </w:p>
    <w:p w14:paraId="40C8B112" w14:textId="1EE0AEFE" w:rsidR="009D73D3" w:rsidRDefault="467234A6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Organisations with annual turnover over £500,000</w:t>
      </w:r>
    </w:p>
    <w:p w14:paraId="470280D7" w14:textId="6AA7197C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 </w:t>
      </w:r>
    </w:p>
    <w:p w14:paraId="4C35F5A1" w14:textId="2BAE9C8A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How much funding can we get?</w:t>
      </w:r>
    </w:p>
    <w:p w14:paraId="59FB03C1" w14:textId="40458FE4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You can apply for </w:t>
      </w:r>
    </w:p>
    <w:p w14:paraId="02172378" w14:textId="220DDE69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Large Grant £5,000.01 - £15,000</w:t>
      </w:r>
    </w:p>
    <w:p w14:paraId="64B3E8A2" w14:textId="64D5CBCE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lastRenderedPageBreak/>
        <w:t>Medium Grant £2,000.01 - £5,000</w:t>
      </w:r>
    </w:p>
    <w:p w14:paraId="3ECF8C59" w14:textId="1158CECF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Small Grant £1,000 - £2,000</w:t>
      </w:r>
    </w:p>
    <w:p w14:paraId="65739939" w14:textId="2D48E3DD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D697AB3" w14:textId="26E6799F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You need to show a clear 6-month project and split your budget as follows 70% revenue and 30% capital</w:t>
      </w:r>
    </w:p>
    <w:p w14:paraId="20F9FA80" w14:textId="283E6D40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B9D72AB" w14:textId="07D79BF7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Revenue costs (things you spend during your project)</w:t>
      </w:r>
    </w:p>
    <w:p w14:paraId="20493E78" w14:textId="7B6EA249" w:rsidR="009D73D3" w:rsidRDefault="467234A6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 xml:space="preserve">Staff salaries or fees </w:t>
      </w:r>
    </w:p>
    <w:p w14:paraId="2F07F78B" w14:textId="5554FFEE" w:rsidR="009D73D3" w:rsidRDefault="467234A6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Venue hire</w:t>
      </w:r>
    </w:p>
    <w:p w14:paraId="70FC0EA9" w14:textId="45755255" w:rsidR="009D73D3" w:rsidRDefault="467234A6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Materials (arts, crafts, music)</w:t>
      </w:r>
    </w:p>
    <w:p w14:paraId="69463F2A" w14:textId="59F4AA9B" w:rsidR="009D73D3" w:rsidRDefault="467234A6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Event related costs, insurance, marketing</w:t>
      </w:r>
    </w:p>
    <w:p w14:paraId="4D7730F1" w14:textId="52CBD5DE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Capital costs (things you buy and keep)</w:t>
      </w:r>
    </w:p>
    <w:p w14:paraId="1D117958" w14:textId="4A13DC2F" w:rsidR="009D73D3" w:rsidRDefault="467234A6" w:rsidP="30880723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Equipment</w:t>
      </w:r>
    </w:p>
    <w:p w14:paraId="1BC72B1B" w14:textId="164DE7BC" w:rsidR="009D73D3" w:rsidRDefault="467234A6" w:rsidP="30880723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Digital software</w:t>
      </w:r>
    </w:p>
    <w:p w14:paraId="71E9B2DF" w14:textId="18E6DDE6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 </w:t>
      </w:r>
    </w:p>
    <w:p w14:paraId="5A3EDDD4" w14:textId="7F84C810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How will applications be scored?</w:t>
      </w:r>
    </w:p>
    <w:p w14:paraId="3BD8024D" w14:textId="0D401D6B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The panel will look for </w:t>
      </w:r>
    </w:p>
    <w:p w14:paraId="5A19D48A" w14:textId="6CFDD88A" w:rsidR="009D73D3" w:rsidRDefault="467234A6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All questions answered fully</w:t>
      </w:r>
    </w:p>
    <w:p w14:paraId="6BE6AB82" w14:textId="2144297F" w:rsidR="009D73D3" w:rsidRDefault="467234A6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All policies and supporting documents attached</w:t>
      </w:r>
    </w:p>
    <w:p w14:paraId="69BF7BF5" w14:textId="73632901" w:rsidR="009D73D3" w:rsidRDefault="467234A6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A clear, focused and realistic six-month plan that meets the grant aims</w:t>
      </w:r>
    </w:p>
    <w:p w14:paraId="42F686AA" w14:textId="72F8EF49" w:rsidR="009D73D3" w:rsidRDefault="467234A6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Value for money and a clear regional spread</w:t>
      </w:r>
    </w:p>
    <w:p w14:paraId="2556E6A6" w14:textId="5458BBC1" w:rsidR="009D73D3" w:rsidRDefault="467234A6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 w:rsidRPr="30880723">
        <w:rPr>
          <w:rFonts w:ascii="Arial" w:eastAsia="Arial" w:hAnsi="Arial" w:cs="Arial"/>
          <w:sz w:val="28"/>
          <w:szCs w:val="28"/>
        </w:rPr>
        <w:t>Strong fit with at least one of the target communities</w:t>
      </w:r>
    </w:p>
    <w:p w14:paraId="46912D6A" w14:textId="1786824F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 </w:t>
      </w:r>
    </w:p>
    <w:p w14:paraId="129F5700" w14:textId="09C99004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When will we get the money?</w:t>
      </w:r>
    </w:p>
    <w:p w14:paraId="65C98CEE" w14:textId="472A9AEE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>Capital funding – paid in full at start of October (once quotes and proof of costs have been received)</w:t>
      </w:r>
    </w:p>
    <w:p w14:paraId="602CB803" w14:textId="4C9A9A96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Revenue funding – paid in 3 instalments – October, December </w:t>
      </w:r>
      <w:proofErr w:type="spellStart"/>
      <w:r w:rsidRPr="30880723">
        <w:rPr>
          <w:rFonts w:ascii="Arial" w:eastAsia="Arial" w:hAnsi="Arial" w:cs="Arial"/>
          <w:sz w:val="28"/>
          <w:szCs w:val="28"/>
        </w:rPr>
        <w:t>amd</w:t>
      </w:r>
      <w:proofErr w:type="spellEnd"/>
      <w:r w:rsidRPr="30880723">
        <w:rPr>
          <w:rFonts w:ascii="Arial" w:eastAsia="Arial" w:hAnsi="Arial" w:cs="Arial"/>
          <w:sz w:val="28"/>
          <w:szCs w:val="28"/>
        </w:rPr>
        <w:t xml:space="preserve"> February</w:t>
      </w:r>
    </w:p>
    <w:p w14:paraId="2E351B5C" w14:textId="2D41B4A6" w:rsidR="009D73D3" w:rsidRDefault="467234A6" w:rsidP="30880723">
      <w:pPr>
        <w:spacing w:after="0"/>
      </w:pPr>
      <w:r w:rsidRPr="30880723">
        <w:rPr>
          <w:rFonts w:ascii="Arial" w:eastAsia="Arial" w:hAnsi="Arial" w:cs="Arial"/>
          <w:sz w:val="28"/>
          <w:szCs w:val="28"/>
        </w:rPr>
        <w:t xml:space="preserve"> </w:t>
      </w:r>
    </w:p>
    <w:p w14:paraId="317F563F" w14:textId="1F790D7A" w:rsidR="009D73D3" w:rsidRDefault="467234A6" w:rsidP="30880723">
      <w:pPr>
        <w:spacing w:after="0"/>
      </w:pPr>
      <w:r w:rsidRPr="30880723">
        <w:rPr>
          <w:rFonts w:ascii="Arial" w:eastAsia="Arial" w:hAnsi="Arial" w:cs="Arial"/>
          <w:b/>
          <w:bCs/>
          <w:sz w:val="28"/>
          <w:szCs w:val="28"/>
        </w:rPr>
        <w:t>When does our project need to run?</w:t>
      </w:r>
    </w:p>
    <w:p w14:paraId="030EF1D8" w14:textId="3FDADDB0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Projects must run between 1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st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October 2025 and 31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st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March 2026</w:t>
      </w:r>
    </w:p>
    <w:p w14:paraId="57C08CC2" w14:textId="349B430C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All money must be spent by 31 March 2026</w:t>
      </w:r>
    </w:p>
    <w:p w14:paraId="22436DC6" w14:textId="21A8C94A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9731EE7" w14:textId="7DD48AA3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What documents do I need?</w:t>
      </w:r>
    </w:p>
    <w:p w14:paraId="4FC03799" w14:textId="09EFDF58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You will need</w:t>
      </w:r>
    </w:p>
    <w:p w14:paraId="24DE6BE4" w14:textId="3953553A" w:rsidR="009D73D3" w:rsidRDefault="467234A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Bank Account in your organisations name that must have at least two signatories on the account (who are not related)</w:t>
      </w:r>
    </w:p>
    <w:p w14:paraId="547B0BF2" w14:textId="0D018ACA" w:rsidR="009D73D3" w:rsidRDefault="467234A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Latest audited accounts</w:t>
      </w:r>
    </w:p>
    <w:p w14:paraId="6E09247F" w14:textId="638D4A0D" w:rsidR="009D73D3" w:rsidRDefault="467234A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Company/Charity/CIC registration number</w:t>
      </w:r>
    </w:p>
    <w:p w14:paraId="3F4B2058" w14:textId="4F1E895A" w:rsidR="009D73D3" w:rsidRDefault="467234A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Safeguarding Policy (if working with children or vulnerable adults)</w:t>
      </w:r>
    </w:p>
    <w:p w14:paraId="7F00DC2A" w14:textId="1AE642A2" w:rsidR="009D73D3" w:rsidRDefault="467234A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Health &amp; Safety Policy</w:t>
      </w:r>
    </w:p>
    <w:p w14:paraId="5CB11CAD" w14:textId="1314E296" w:rsidR="009D73D3" w:rsidRDefault="467234A6" w:rsidP="30880723">
      <w:pPr>
        <w:shd w:val="clear" w:color="auto" w:fill="FFFFFF" w:themeFill="background1"/>
        <w:spacing w:after="0"/>
        <w:ind w:left="72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8DCC67A" w14:textId="4351873E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Do we have to complete any monitoring forms?</w:t>
      </w:r>
    </w:p>
    <w:p w14:paraId="68379B70" w14:textId="4906DD48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You will need to send one short feedback form two months after you receive a grant and we will ask you to provide an End of project report on completion of the project, no later than 31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st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March 2026. You may be asked to provide additional regular reporting. You may be asked for more information about purchases, so please keep all receipts.</w:t>
      </w:r>
    </w:p>
    <w:p w14:paraId="3DBD63C8" w14:textId="3E4BAE37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A0B4053" w14:textId="72AF9339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How do we apply? 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Three ways to apply</w:t>
      </w:r>
    </w:p>
    <w:p w14:paraId="328FDDC8" w14:textId="20EA05A3" w:rsidR="009D73D3" w:rsidRDefault="467234A6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467886"/>
          <w:sz w:val="28"/>
          <w:szCs w:val="28"/>
          <w:u w:val="single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Download and email the form to </w:t>
      </w:r>
      <w:hyperlink r:id="rId9">
        <w:r w:rsidRPr="30880723">
          <w:rPr>
            <w:rStyle w:val="Hyperlink"/>
            <w:rFonts w:ascii="Arial" w:eastAsia="Arial" w:hAnsi="Arial" w:cs="Arial"/>
            <w:sz w:val="28"/>
            <w:szCs w:val="28"/>
          </w:rPr>
          <w:t>culturegrants@adferiad.org</w:t>
        </w:r>
      </w:hyperlink>
    </w:p>
    <w:p w14:paraId="3E8757E7" w14:textId="1F4C4E68" w:rsidR="009D73D3" w:rsidRDefault="467234A6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Complete online form</w:t>
      </w:r>
    </w:p>
    <w:p w14:paraId="084479AF" w14:textId="1ED4CA9B" w:rsidR="009D73D3" w:rsidRDefault="467234A6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>Send a short video (for section 2) alongside form</w:t>
      </w:r>
    </w:p>
    <w:p w14:paraId="46FF3518" w14:textId="2733E8A8" w:rsidR="009D73D3" w:rsidRDefault="467234A6" w:rsidP="30880723">
      <w:pPr>
        <w:shd w:val="clear" w:color="auto" w:fill="FFFFFF" w:themeFill="background1"/>
        <w:spacing w:after="0"/>
      </w:pPr>
      <w:r w:rsidRPr="308807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Closing date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5pm Monday 15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30880723">
        <w:rPr>
          <w:rFonts w:ascii="Arial" w:eastAsia="Arial" w:hAnsi="Arial" w:cs="Arial"/>
          <w:color w:val="000000" w:themeColor="text1"/>
          <w:sz w:val="28"/>
          <w:szCs w:val="28"/>
        </w:rPr>
        <w:t xml:space="preserve"> September 2025</w:t>
      </w:r>
    </w:p>
    <w:p w14:paraId="5E0FC4A9" w14:textId="4055E3DB" w:rsidR="009D73D3" w:rsidRDefault="467234A6" w:rsidP="30880723">
      <w:pPr>
        <w:shd w:val="clear" w:color="auto" w:fill="FFFFFF" w:themeFill="background1"/>
        <w:spacing w:after="0"/>
        <w:ind w:left="720"/>
      </w:pPr>
      <w:r w:rsidRPr="30880723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02CF2F7D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Are not-for-profit companies limited by guarantee able to apply? </w:t>
      </w: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 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15D79B8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Yes, not-for-profit companies limited by guarantee can apply to any of the 3 grant levels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  </w:t>
      </w:r>
    </w:p>
    <w:p w14:paraId="5A13613C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34862007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Would a project be eligible to use the arts/cultural activities as a community engagement tool as part of a larger project/vision?</w:t>
      </w: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 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18876F3B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Yes, as long as the engagement work is clearly defined as its own project with: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1EC2F73D" w14:textId="77777777" w:rsidR="00DF05AF" w:rsidRPr="00DF05AF" w:rsidRDefault="00DF05AF" w:rsidP="00DF05AF">
      <w:pPr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Involvement with individuals from </w:t>
      </w:r>
      <w:proofErr w:type="spellStart"/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atleast</w:t>
      </w:r>
      <w:proofErr w:type="spellEnd"/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one of the 3 target groups to encourage inclusion and diversity </w:t>
      </w:r>
    </w:p>
    <w:p w14:paraId="3893999B" w14:textId="77777777" w:rsidR="00DF05AF" w:rsidRPr="00DF05AF" w:rsidRDefault="00DF05AF" w:rsidP="00DF05AF">
      <w:pPr>
        <w:numPr>
          <w:ilvl w:val="0"/>
          <w:numId w:val="10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A start &amp; end date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11789CDD" w14:textId="77777777" w:rsidR="00DF05AF" w:rsidRPr="00DF05AF" w:rsidRDefault="00DF05AF" w:rsidP="00DF05AF">
      <w:pPr>
        <w:numPr>
          <w:ilvl w:val="0"/>
          <w:numId w:val="11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Clear objectives and measurable outcomes 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5B267DAF" w14:textId="77777777" w:rsidR="00DF05AF" w:rsidRPr="00DF05AF" w:rsidRDefault="00DF05AF" w:rsidP="00DF05AF">
      <w:pPr>
        <w:numPr>
          <w:ilvl w:val="0"/>
          <w:numId w:val="12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Clear Cultural Arts/Creative elements </w:t>
      </w:r>
    </w:p>
    <w:p w14:paraId="6EB093A3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071CD818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Is there any limit on activities that can take place in schools?</w:t>
      </w: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 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789AB834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No, as long as they celebrate diversity and culture, including one of the 3 target groups.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2999887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lastRenderedPageBreak/>
        <w:t>There must be a robust child protection safeguarding policy in place and agreement from partner schools evidenced in the application.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397D53C7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1803BFE1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Could the funds be used to undertake quality marks such as the Cultural Competency Award?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 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62E4D242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Not as a stand-alone request. Staff training and accreditation/awards can be included within a project budget, however the grant must be used for culture-based arts and creative projects that will benefit the identified targe groups in Wales.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  </w:t>
      </w:r>
    </w:p>
    <w:p w14:paraId="7F631EAA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189C6728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 xml:space="preserve">If we are partnering with a charity or other </w:t>
      </w:r>
      <w:proofErr w:type="spellStart"/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organisation</w:t>
      </w:r>
      <w:proofErr w:type="spellEnd"/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 xml:space="preserve"> to deliver the project, would we apply jointly or should we put them down as a supplier?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432E25B3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You would have to choose a lead applicant between you, with the designated partner organization named in Section 1 of the application form, and a representative from that partner named as a Referee in the final section.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  </w:t>
      </w:r>
    </w:p>
    <w:p w14:paraId="5C691865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There must not be two applications from both partners for the same project – this duplication would result in neither being accepted by the Panel.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46D9C8C3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2BF7B429" w14:textId="77777777" w:rsidR="00DF05AF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Does it matter if your organization is not currently working with any of the 3 target groups?</w:t>
      </w:r>
      <w:r w:rsidRPr="00DF05A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 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4CC772DB" w14:textId="03E056F4" w:rsidR="009D73D3" w:rsidRPr="00DF05AF" w:rsidRDefault="00DF05AF" w:rsidP="00DF05AF">
      <w:pPr>
        <w:shd w:val="clear" w:color="auto" w:fill="FFFFFF" w:themeFill="background1"/>
        <w:spacing w:after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No, this funding can be used for projects to address gaps in your </w:t>
      </w:r>
      <w:proofErr w:type="spellStart"/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organisation’s</w:t>
      </w:r>
      <w:proofErr w:type="spellEnd"/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reach and engagement. This scheme is intended to support </w:t>
      </w:r>
      <w:proofErr w:type="spellStart"/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organisations</w:t>
      </w:r>
      <w:proofErr w:type="spellEnd"/>
      <w:r w:rsidRPr="00DF05AF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to become more inclusive and facilitate working with individuals from the 3 target groups.</w:t>
      </w:r>
      <w:r w:rsidRPr="00DF05AF">
        <w:rPr>
          <w:rFonts w:ascii="Arial" w:eastAsia="Times New Roman" w:hAnsi="Arial" w:cs="Arial"/>
          <w:color w:val="000000" w:themeColor="text1"/>
          <w:sz w:val="28"/>
          <w:szCs w:val="28"/>
        </w:rPr>
        <w:t> Projects with a partner agency representing one of the 3 target groups will have a higher likelihood of success. </w:t>
      </w:r>
    </w:p>
    <w:p w14:paraId="5E5787A5" w14:textId="7F939D61" w:rsidR="009D73D3" w:rsidRDefault="009D73D3"/>
    <w:sectPr w:rsidR="009D73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B554"/>
    <w:multiLevelType w:val="hybridMultilevel"/>
    <w:tmpl w:val="294EE3B0"/>
    <w:lvl w:ilvl="0" w:tplc="81DC3A9E">
      <w:start w:val="1"/>
      <w:numFmt w:val="decimal"/>
      <w:lvlText w:val="%1."/>
      <w:lvlJc w:val="left"/>
      <w:pPr>
        <w:ind w:left="720" w:hanging="360"/>
      </w:pPr>
    </w:lvl>
    <w:lvl w:ilvl="1" w:tplc="4106FE5A">
      <w:start w:val="1"/>
      <w:numFmt w:val="lowerLetter"/>
      <w:lvlText w:val="%2."/>
      <w:lvlJc w:val="left"/>
      <w:pPr>
        <w:ind w:left="1440" w:hanging="360"/>
      </w:pPr>
    </w:lvl>
    <w:lvl w:ilvl="2" w:tplc="57B886B0">
      <w:start w:val="1"/>
      <w:numFmt w:val="lowerRoman"/>
      <w:lvlText w:val="%3."/>
      <w:lvlJc w:val="right"/>
      <w:pPr>
        <w:ind w:left="2160" w:hanging="180"/>
      </w:pPr>
    </w:lvl>
    <w:lvl w:ilvl="3" w:tplc="997A6EB0">
      <w:start w:val="1"/>
      <w:numFmt w:val="decimal"/>
      <w:lvlText w:val="%4."/>
      <w:lvlJc w:val="left"/>
      <w:pPr>
        <w:ind w:left="2880" w:hanging="360"/>
      </w:pPr>
    </w:lvl>
    <w:lvl w:ilvl="4" w:tplc="C1BCD210">
      <w:start w:val="1"/>
      <w:numFmt w:val="lowerLetter"/>
      <w:lvlText w:val="%5."/>
      <w:lvlJc w:val="left"/>
      <w:pPr>
        <w:ind w:left="3600" w:hanging="360"/>
      </w:pPr>
    </w:lvl>
    <w:lvl w:ilvl="5" w:tplc="4E6E552E">
      <w:start w:val="1"/>
      <w:numFmt w:val="lowerRoman"/>
      <w:lvlText w:val="%6."/>
      <w:lvlJc w:val="right"/>
      <w:pPr>
        <w:ind w:left="4320" w:hanging="180"/>
      </w:pPr>
    </w:lvl>
    <w:lvl w:ilvl="6" w:tplc="2CBC81E0">
      <w:start w:val="1"/>
      <w:numFmt w:val="decimal"/>
      <w:lvlText w:val="%7."/>
      <w:lvlJc w:val="left"/>
      <w:pPr>
        <w:ind w:left="5040" w:hanging="360"/>
      </w:pPr>
    </w:lvl>
    <w:lvl w:ilvl="7" w:tplc="18189B52">
      <w:start w:val="1"/>
      <w:numFmt w:val="lowerLetter"/>
      <w:lvlText w:val="%8."/>
      <w:lvlJc w:val="left"/>
      <w:pPr>
        <w:ind w:left="5760" w:hanging="360"/>
      </w:pPr>
    </w:lvl>
    <w:lvl w:ilvl="8" w:tplc="0A1C58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36A"/>
    <w:multiLevelType w:val="multilevel"/>
    <w:tmpl w:val="10F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95515"/>
    <w:multiLevelType w:val="multilevel"/>
    <w:tmpl w:val="826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DDAC5"/>
    <w:multiLevelType w:val="hybridMultilevel"/>
    <w:tmpl w:val="DD48B28E"/>
    <w:lvl w:ilvl="0" w:tplc="682E35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68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8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C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1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63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07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2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2C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A927"/>
    <w:multiLevelType w:val="hybridMultilevel"/>
    <w:tmpl w:val="4BF0A588"/>
    <w:lvl w:ilvl="0" w:tplc="D346E5A0">
      <w:start w:val="1"/>
      <w:numFmt w:val="decimal"/>
      <w:lvlText w:val="%1."/>
      <w:lvlJc w:val="left"/>
      <w:pPr>
        <w:ind w:left="720" w:hanging="360"/>
      </w:pPr>
    </w:lvl>
    <w:lvl w:ilvl="1" w:tplc="DAB60ED4">
      <w:start w:val="1"/>
      <w:numFmt w:val="lowerLetter"/>
      <w:lvlText w:val="%2."/>
      <w:lvlJc w:val="left"/>
      <w:pPr>
        <w:ind w:left="1440" w:hanging="360"/>
      </w:pPr>
    </w:lvl>
    <w:lvl w:ilvl="2" w:tplc="51663990">
      <w:start w:val="1"/>
      <w:numFmt w:val="lowerRoman"/>
      <w:lvlText w:val="%3."/>
      <w:lvlJc w:val="right"/>
      <w:pPr>
        <w:ind w:left="2160" w:hanging="180"/>
      </w:pPr>
    </w:lvl>
    <w:lvl w:ilvl="3" w:tplc="9CB8E1A4">
      <w:start w:val="1"/>
      <w:numFmt w:val="decimal"/>
      <w:lvlText w:val="%4."/>
      <w:lvlJc w:val="left"/>
      <w:pPr>
        <w:ind w:left="2880" w:hanging="360"/>
      </w:pPr>
    </w:lvl>
    <w:lvl w:ilvl="4" w:tplc="09CE6E4A">
      <w:start w:val="1"/>
      <w:numFmt w:val="lowerLetter"/>
      <w:lvlText w:val="%5."/>
      <w:lvlJc w:val="left"/>
      <w:pPr>
        <w:ind w:left="3600" w:hanging="360"/>
      </w:pPr>
    </w:lvl>
    <w:lvl w:ilvl="5" w:tplc="6D2C894C">
      <w:start w:val="1"/>
      <w:numFmt w:val="lowerRoman"/>
      <w:lvlText w:val="%6."/>
      <w:lvlJc w:val="right"/>
      <w:pPr>
        <w:ind w:left="4320" w:hanging="180"/>
      </w:pPr>
    </w:lvl>
    <w:lvl w:ilvl="6" w:tplc="B2980E4C">
      <w:start w:val="1"/>
      <w:numFmt w:val="decimal"/>
      <w:lvlText w:val="%7."/>
      <w:lvlJc w:val="left"/>
      <w:pPr>
        <w:ind w:left="5040" w:hanging="360"/>
      </w:pPr>
    </w:lvl>
    <w:lvl w:ilvl="7" w:tplc="E24E7D82">
      <w:start w:val="1"/>
      <w:numFmt w:val="lowerLetter"/>
      <w:lvlText w:val="%8."/>
      <w:lvlJc w:val="left"/>
      <w:pPr>
        <w:ind w:left="5760" w:hanging="360"/>
      </w:pPr>
    </w:lvl>
    <w:lvl w:ilvl="8" w:tplc="8416C4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81EE"/>
    <w:multiLevelType w:val="hybridMultilevel"/>
    <w:tmpl w:val="75FCD362"/>
    <w:lvl w:ilvl="0" w:tplc="FAA4FE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D2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4B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00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22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C9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EF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E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9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C487"/>
    <w:multiLevelType w:val="hybridMultilevel"/>
    <w:tmpl w:val="FB98B242"/>
    <w:lvl w:ilvl="0" w:tplc="3760B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44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6C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24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C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9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E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2F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E6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02E4"/>
    <w:multiLevelType w:val="hybridMultilevel"/>
    <w:tmpl w:val="9A1208D8"/>
    <w:lvl w:ilvl="0" w:tplc="9FFCE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70B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E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E4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1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5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4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23278"/>
    <w:multiLevelType w:val="hybridMultilevel"/>
    <w:tmpl w:val="7884D810"/>
    <w:lvl w:ilvl="0" w:tplc="591017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460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6D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AA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E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0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0D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AD303"/>
    <w:multiLevelType w:val="hybridMultilevel"/>
    <w:tmpl w:val="BBB0D6A4"/>
    <w:lvl w:ilvl="0" w:tplc="E1FE6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588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C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8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E2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2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4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A304C"/>
    <w:multiLevelType w:val="multilevel"/>
    <w:tmpl w:val="36A2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82CA8"/>
    <w:multiLevelType w:val="multilevel"/>
    <w:tmpl w:val="C272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980485">
    <w:abstractNumId w:val="4"/>
  </w:num>
  <w:num w:numId="2" w16cid:durableId="2137601389">
    <w:abstractNumId w:val="3"/>
  </w:num>
  <w:num w:numId="3" w16cid:durableId="1039630051">
    <w:abstractNumId w:val="7"/>
  </w:num>
  <w:num w:numId="4" w16cid:durableId="526989908">
    <w:abstractNumId w:val="9"/>
  </w:num>
  <w:num w:numId="5" w16cid:durableId="772091265">
    <w:abstractNumId w:val="5"/>
  </w:num>
  <w:num w:numId="6" w16cid:durableId="611783447">
    <w:abstractNumId w:val="8"/>
  </w:num>
  <w:num w:numId="7" w16cid:durableId="1081027774">
    <w:abstractNumId w:val="0"/>
  </w:num>
  <w:num w:numId="8" w16cid:durableId="1923105649">
    <w:abstractNumId w:val="6"/>
  </w:num>
  <w:num w:numId="9" w16cid:durableId="1548569295">
    <w:abstractNumId w:val="1"/>
  </w:num>
  <w:num w:numId="10" w16cid:durableId="958605258">
    <w:abstractNumId w:val="2"/>
  </w:num>
  <w:num w:numId="11" w16cid:durableId="115567123">
    <w:abstractNumId w:val="11"/>
  </w:num>
  <w:num w:numId="12" w16cid:durableId="2113353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38189F"/>
    <w:rsid w:val="00850FEA"/>
    <w:rsid w:val="009D73D3"/>
    <w:rsid w:val="00DF05AF"/>
    <w:rsid w:val="27327828"/>
    <w:rsid w:val="30880723"/>
    <w:rsid w:val="467234A6"/>
    <w:rsid w:val="5838189F"/>
    <w:rsid w:val="58A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189F"/>
  <w15:chartTrackingRefBased/>
  <w15:docId w15:val="{AE1566A2-B838-41EC-8A70-16EACB4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3088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88072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lturegrants@adfer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C1FBF-6286-43E3-BE8E-4042118F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C2471-AEA1-4686-8AE8-964C9C32A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99AAD-C943-4B1E-8477-815A4EBA7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Owen</dc:creator>
  <cp:keywords/>
  <dc:description/>
  <cp:lastModifiedBy>Kirsty Drane</cp:lastModifiedBy>
  <cp:revision>2</cp:revision>
  <dcterms:created xsi:type="dcterms:W3CDTF">2025-09-04T11:01:00Z</dcterms:created>
  <dcterms:modified xsi:type="dcterms:W3CDTF">2025-09-04T11:01:00Z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</Properties>
</file>